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27BE9AE" w:rsidP="08508BD4" w:rsidRDefault="227BE9AE" w14:paraId="6E684B7B" w14:textId="6AC0D965">
      <w:pPr>
        <w:spacing w:before="0" w:beforeAutospacing="off" w:after="0" w:afterAutospacing="off" w:line="360" w:lineRule="auto"/>
        <w:jc w:val="center"/>
      </w:pP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DECRETO N° 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highlight w:val="yellow"/>
          <w:lang w:val="pt"/>
        </w:rPr>
        <w:t>_______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, DE 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highlight w:val="yellow"/>
          <w:lang w:val="pt"/>
        </w:rPr>
        <w:t>[DIA]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 DE 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highlight w:val="yellow"/>
          <w:lang w:val="pt"/>
        </w:rPr>
        <w:t>[MÊS]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 DE 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highlight w:val="yellow"/>
          <w:lang w:val="pt"/>
        </w:rPr>
        <w:t>[ANO]</w:t>
      </w:r>
      <w:r w:rsidRPr="08508BD4" w:rsidR="227BE9A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>.</w:t>
      </w:r>
    </w:p>
    <w:p xmlns:wp14="http://schemas.microsoft.com/office/word/2010/wordml" w:rsidP="08508BD4" wp14:paraId="0CA79BCA" wp14:textId="51B7E09C">
      <w:pPr>
        <w:spacing w:before="218" w:beforeAutospacing="off" w:after="0" w:afterAutospacing="off" w:line="264" w:lineRule="auto"/>
        <w:ind w:left="3540" w:right="136"/>
        <w:jc w:val="both"/>
        <w:rPr>
          <w:rFonts w:ascii="Arial Nova" w:hAnsi="Arial Nova" w:eastAsia="Arial Nova" w:cs="Arial Nova"/>
          <w:noProof w:val="0"/>
          <w:sz w:val="24"/>
          <w:szCs w:val="24"/>
          <w:highlight w:val="yellow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Regulamenta o tratamento jurídico diferenciado, simplificado e favorecido a ser dispensado às microempresas, empresas de pequeno porte, agricultores familiares, produtores rurais pessoas físicas, microempreendedores individuais e sociedades cooperativas nas aquisições públicas realizadas pelo Município de </w:t>
      </w: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highlight w:val="yellow"/>
          <w:lang w:val="pt"/>
        </w:rPr>
        <w:t>[NOME DO MUNICÍPIO].</w:t>
      </w:r>
    </w:p>
    <w:p xmlns:wp14="http://schemas.microsoft.com/office/word/2010/wordml" w:rsidP="08508BD4" wp14:paraId="0054866B" wp14:textId="2106EFE3">
      <w:pPr>
        <w:spacing w:before="218" w:beforeAutospacing="off" w:after="0" w:afterAutospacing="off" w:line="264" w:lineRule="auto"/>
        <w:ind w:left="19" w:right="136"/>
        <w:jc w:val="both"/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O PREFEITO </w:t>
      </w:r>
      <w:r w:rsidRPr="08508BD4" w:rsidR="2A181935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MUNICIPAL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DE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highlight w:val="yellow"/>
          <w:lang w:val="pt-BR"/>
        </w:rPr>
        <w:t>[NOME DO MUNICÍPIO]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, no uso das atribuições que lhe são conferidas pelo art.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highlight w:val="yellow"/>
          <w:lang w:val="pt-BR"/>
        </w:rPr>
        <w:t>[ ]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da Lei Orgânica Municipal, e tendo em vista o disposto na Lei Complementar Federal nº 123, de 14 de dezembro de 2006, no Decreto nº 47.437, de 26 de junho de 2018 e na</w:t>
      </w:r>
      <w:r w:rsidRPr="08508BD4" w:rsidR="3E38C71E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b w:val="0"/>
          <w:bCs w:val="0"/>
          <w:strike w:val="0"/>
          <w:dstrike w:val="0"/>
          <w:noProof w:val="0"/>
          <w:color w:val="auto"/>
          <w:sz w:val="24"/>
          <w:szCs w:val="24"/>
          <w:lang w:val="pt-BR"/>
        </w:rPr>
        <w:t>Lei nº 20.826, de 31 de julho de 2013</w:t>
      </w:r>
      <w:r w:rsidRPr="08508BD4" w:rsidR="3E38C71E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pt-BR"/>
        </w:rPr>
        <w:t>,</w:t>
      </w:r>
    </w:p>
    <w:p xmlns:wp14="http://schemas.microsoft.com/office/word/2010/wordml" w:rsidP="08508BD4" wp14:paraId="7B2AB375" wp14:textId="4D96CAA7">
      <w:pPr>
        <w:spacing w:before="218" w:beforeAutospacing="off" w:after="0" w:afterAutospacing="off"/>
        <w:ind w:left="85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DECRETA:</w:t>
      </w:r>
    </w:p>
    <w:p xmlns:wp14="http://schemas.microsoft.com/office/word/2010/wordml" w:rsidP="08508BD4" wp14:paraId="16F99621" wp14:textId="5CFCE5E5">
      <w:pPr>
        <w:spacing w:before="3" w:beforeAutospacing="off" w:after="0" w:afterAutospacing="off"/>
        <w:jc w:val="both"/>
        <w:rPr>
          <w:rFonts w:ascii="Arial Nova" w:hAnsi="Arial Nova" w:eastAsia="Arial Nova" w:cs="Arial Nova"/>
          <w:noProof w:val="0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 </w:t>
      </w:r>
    </w:p>
    <w:p xmlns:wp14="http://schemas.microsoft.com/office/word/2010/wordml" w:rsidP="08508BD4" wp14:paraId="4B7E3456" wp14:textId="3ED04AB1">
      <w:pPr>
        <w:spacing w:before="0" w:beforeAutospacing="off" w:after="0" w:afterAutospacing="off" w:line="266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1º – Este decreto estabelece normas para conferir tratamento diferenciado, simplificado e favorecido às microempresas, empresas de pequeno porte, agricultores familiares, produtores rurais pessoas físicas, microempreendedores individuais e sociedades cooperativas nas aquisições públicas do município e tem como objetivos:</w:t>
      </w:r>
    </w:p>
    <w:p w:rsidR="6DB736E1" w:rsidP="08508BD4" w:rsidRDefault="6DB736E1" w14:paraId="6295D51A" w14:textId="497481B1">
      <w:pPr>
        <w:spacing w:before="0" w:beforeAutospacing="off" w:after="0" w:afterAutospacing="off" w:line="266" w:lineRule="auto"/>
        <w:ind w:left="19" w:right="249" w:firstLine="84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</w:p>
    <w:p xmlns:wp14="http://schemas.microsoft.com/office/word/2010/wordml" w:rsidP="08508BD4" wp14:paraId="6DF5386C" wp14:textId="352ADB61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214B000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</w:t>
      </w:r>
      <w:r w:rsidRPr="08508BD4" w:rsidR="70FB8568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promoção do desenvolvimento econômico e social no âmbito municipal e regional;</w:t>
      </w:r>
    </w:p>
    <w:p xmlns:wp14="http://schemas.microsoft.com/office/word/2010/wordml" w:rsidP="08508BD4" wp14:paraId="3FD1271A" wp14:textId="4FB60AFC">
      <w:pPr>
        <w:pStyle w:val="Normal"/>
        <w:spacing w:before="0" w:beforeAutospacing="off" w:after="0" w:afterAutospacing="off" w:line="271" w:lineRule="auto"/>
        <w:ind w:left="19" w:right="914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56DDFFA6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ampliação da eficiência das políticas públicas, nela compreendidas ações de melhoria do ambiente de negócios;</w:t>
      </w:r>
    </w:p>
    <w:p xmlns:wp14="http://schemas.microsoft.com/office/word/2010/wordml" w:rsidP="08508BD4" wp14:paraId="70C70F3E" wp14:textId="1CF6D6AB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104B082A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incentivo à inovação tecnológica.</w:t>
      </w:r>
    </w:p>
    <w:p xmlns:wp14="http://schemas.microsoft.com/office/word/2010/wordml" w:rsidP="08508BD4" wp14:paraId="3D17B363" wp14:textId="49995D04">
      <w:pPr>
        <w:spacing w:before="234" w:beforeAutospacing="off" w:after="0" w:afterAutospacing="off" w:line="271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2º – Aplica-se o disposto neste decreto às contratações de serviços e obras, bem como às aquisições de bens realizadas no âmbito da administração pública direta, autárquica e fundacional do Poder Executivo.</w:t>
      </w:r>
    </w:p>
    <w:p xmlns:wp14="http://schemas.microsoft.com/office/word/2010/wordml" w:rsidP="08508BD4" wp14:paraId="34845F20" wp14:textId="3EA5C710">
      <w:pPr>
        <w:spacing w:before="194" w:beforeAutospacing="off" w:after="0" w:afterAutospacing="off" w:line="266" w:lineRule="auto"/>
        <w:ind w:left="19" w:right="15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Parágrafo único – Em cumprimento ao disposto no § 1º do art. 28 da Lei Federal nº 13.303, de 30 de junho de 2016, fica facultado às empresas públicas e sociedades de economia mista municipais a adesão às regras fixadas neste decreto, ou a definição de regras próprias para a aplicação da Lei Complementar Federal nº 123, de 2006, em seus respectivos procedimentos licitatórios.</w:t>
      </w:r>
    </w:p>
    <w:p xmlns:wp14="http://schemas.microsoft.com/office/word/2010/wordml" w:rsidP="08508BD4" wp14:paraId="367E73BF" wp14:textId="5C8D4883">
      <w:pPr>
        <w:spacing w:before="215" w:beforeAutospacing="off" w:after="0" w:afterAutospacing="off" w:line="264" w:lineRule="auto"/>
        <w:ind w:left="19" w:right="198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Art. 3º – São beneficiárias das regras dispostas neste decreto as microempresas, as empresas de pequeno porte e as demais pessoas a elas equiparadas, na forma e nos termos da Lei Complementar Federal nº 123, de 2006, e </w:t>
      </w: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da </w:t>
      </w: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>Lei nº 20.826, de 2013</w:t>
      </w: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, bem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como as sociedades cooperativas, nos termos do art. 34 da Lei Federal nº 11.488, de 15 de junho de 2007.</w:t>
      </w:r>
    </w:p>
    <w:p w:rsidR="3E38C71E" w:rsidP="08508BD4" w:rsidRDefault="3E38C71E" w14:paraId="3FB031EC" w14:textId="6493697B">
      <w:pPr>
        <w:spacing w:before="223" w:beforeAutospacing="off" w:after="0" w:afterAutospacing="off" w:line="257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1º – Para fins do disposto neste decreto o enquadramento dos beneficiários indicados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se dará da seguinte forma:</w:t>
      </w:r>
    </w:p>
    <w:p w:rsidR="6DB736E1" w:rsidP="08508BD4" w:rsidRDefault="6DB736E1" w14:paraId="138BB1E3" w14:textId="142700B3">
      <w:pPr>
        <w:spacing w:before="223" w:beforeAutospacing="off" w:after="0" w:afterAutospacing="off" w:line="257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</w:p>
    <w:p xmlns:wp14="http://schemas.microsoft.com/office/word/2010/wordml" w:rsidP="08508BD4" wp14:paraId="6F35A1F1" wp14:textId="3665D3FE">
      <w:pPr>
        <w:pStyle w:val="Normal"/>
        <w:spacing w:before="0" w:beforeAutospacing="off" w:after="0" w:afterAutospacing="off" w:line="271" w:lineRule="auto"/>
        <w:ind w:left="19" w:right="292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D0F632C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microempresa ou empresa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de pequeno porte, conforme definido nos incisos I e II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-BR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e § 4º do art. 3º da Lei Complementar Federal nº 123, de 2006;</w:t>
      </w:r>
    </w:p>
    <w:p xmlns:wp14="http://schemas.microsoft.com/office/word/2010/wordml" w:rsidP="08508BD4" wp14:paraId="655CBC75" wp14:textId="69CB3B4B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6FF30CEB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II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agricultor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familiar, conforme definido na Lei Federal nº 11.326, de 24 de julho de 2006;</w:t>
      </w:r>
    </w:p>
    <w:p xmlns:wp14="http://schemas.microsoft.com/office/word/2010/wordml" w:rsidP="08508BD4" wp14:paraId="2D8FE59F" wp14:textId="512AD8F3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65C1424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III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–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produto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rural pessoa física, conforme disposto na Lei Federal nº 8.212, de 24 de julho de 1991;</w:t>
      </w:r>
    </w:p>
    <w:p xmlns:wp14="http://schemas.microsoft.com/office/word/2010/wordml" w:rsidP="08508BD4" wp14:paraId="5BAEE6E3" wp14:textId="20BD24CA">
      <w:pPr>
        <w:pStyle w:val="Normal"/>
        <w:spacing w:before="0" w:beforeAutospacing="off" w:after="0" w:afterAutospacing="off" w:line="271" w:lineRule="auto"/>
        <w:ind w:left="19" w:right="237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92B6EA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IV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microempreendedor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individual, conforme definido no § 1º do art. 18-A da Lei Complementar Federal nº 123, de 2006;</w:t>
      </w:r>
    </w:p>
    <w:p xmlns:wp14="http://schemas.microsoft.com/office/word/2010/wordml" w:rsidP="08508BD4" wp14:paraId="1783D7CB" wp14:textId="437D48B3">
      <w:pPr>
        <w:pStyle w:val="Normal"/>
        <w:spacing w:before="0" w:beforeAutospacing="off" w:after="0" w:afterAutospacing="off" w:line="271" w:lineRule="auto"/>
        <w:ind w:left="19" w:right="297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2B3ABE91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V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sociedade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cooperativa, conforme definido no art. 34 da Lei Federal nº 11.488, de 2007, e no art. 4º da Lei Federal nº 5.764, de 16 de dezembro de 1971.</w:t>
      </w:r>
    </w:p>
    <w:p xmlns:wp14="http://schemas.microsoft.com/office/word/2010/wordml" w:rsidP="08508BD4" wp14:paraId="6295D6C1" wp14:textId="449BEC2A">
      <w:pPr>
        <w:spacing w:before="194" w:beforeAutospacing="off" w:after="0" w:afterAutospacing="off" w:line="266" w:lineRule="auto"/>
        <w:ind w:left="19" w:right="15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2º – Serão beneficiados pelo tratamento diferenciado, simplificado e favorecido conforme disposto neste decreto apenas o produtor rural pessoa física e o agricultor familiar conceituado na Lei Federal nº 11.326, de 2006, que estejam em situação regular junto à Previdência Social e ao município, e que tenham auferido receita bruta anual até o limite de que trata o inciso II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do art. 3º da Lei Complementar Federal nº 123, de 2006.</w:t>
      </w:r>
    </w:p>
    <w:p xmlns:wp14="http://schemas.microsoft.com/office/word/2010/wordml" w:rsidP="08508BD4" wp14:paraId="36F8E71E" wp14:textId="61A15649">
      <w:pPr>
        <w:spacing w:before="216" w:beforeAutospacing="off" w:after="0" w:afterAutospacing="off" w:line="257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§ 3º – A Secretaria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10AA8114">
        <w:rPr>
          <w:rFonts w:ascii="Arial Nova" w:hAnsi="Arial Nova" w:eastAsia="Arial Nova" w:cs="Arial Nova"/>
          <w:noProof w:val="0"/>
          <w:color w:val="181C26"/>
          <w:sz w:val="24"/>
          <w:szCs w:val="24"/>
          <w:highlight w:val="yellow"/>
          <w:lang w:val="pt-BR"/>
        </w:rPr>
        <w:t>[  ]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highlight w:val="yellow"/>
          <w:lang w:val="pt-BR"/>
        </w:rPr>
        <w:t>–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é o órgão competente para disciplinar os meios pelos quais se dará a comprovação do porte das empresas mencionadas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-BR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.</w:t>
      </w:r>
    </w:p>
    <w:p xmlns:wp14="http://schemas.microsoft.com/office/word/2010/wordml" w:rsidP="08508BD4" wp14:paraId="4119F4D4" wp14:textId="4746045A">
      <w:pPr>
        <w:spacing w:before="227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4º – Para fins de aplicação dos benefícios dispostos neste decreto, considera-se:</w:t>
      </w:r>
    </w:p>
    <w:p xmlns:wp14="http://schemas.microsoft.com/office/word/2010/wordml" w:rsidP="08508BD4" wp14:paraId="121AE543" wp14:textId="7AF47FA1">
      <w:pPr>
        <w:pStyle w:val="Normal"/>
        <w:spacing w:before="227" w:beforeAutospacing="off" w:after="0" w:afterAutospacing="off" w:line="271" w:lineRule="auto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481B6D6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– âmbito local: os limites geográficos do município onde será executado o objeto da contratação, ou da região delimitada pelos limites geográficos do referido município e de seus municípios limítrofes, ou da região metropolitana na qual está inserido o citado município;</w:t>
      </w:r>
    </w:p>
    <w:p xmlns:wp14="http://schemas.microsoft.com/office/word/2010/wordml" w:rsidP="08508BD4" wp14:paraId="54FF3C66" wp14:textId="231366E7">
      <w:pPr>
        <w:pStyle w:val="Normal"/>
        <w:spacing w:before="0" w:beforeAutospacing="off" w:after="0" w:afterAutospacing="off" w:line="257" w:lineRule="auto"/>
        <w:ind w:left="19" w:right="37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749250AF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– microempresas e empresas de pequeno porte: os beneficiados pela Lei Complementar Federal nº 123, de 2006, e pelo art. 34 da Lei Federal nº 11.488, de 2007, nos termos do art. 3º.</w:t>
      </w:r>
    </w:p>
    <w:p xmlns:wp14="http://schemas.microsoft.com/office/word/2010/wordml" w:rsidP="08508BD4" wp14:paraId="5F45291B" wp14:textId="2B07BD4E">
      <w:pPr>
        <w:spacing w:before="228" w:beforeAutospacing="off" w:after="0" w:afterAutospacing="off" w:line="257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1º – Admite-se a adoção, em edital, de critério de definição de âmbito local e regional diverso dos definidos nos incisos I e II.</w:t>
      </w:r>
    </w:p>
    <w:p xmlns:wp14="http://schemas.microsoft.com/office/word/2010/wordml" w:rsidP="08508BD4" wp14:paraId="29FCB0E0" wp14:textId="06D3030D">
      <w:pPr>
        <w:spacing w:before="227" w:beforeAutospacing="off" w:after="0" w:afterAutospacing="off" w:line="264" w:lineRule="auto"/>
        <w:ind w:left="19" w:right="155" w:firstLine="0"/>
        <w:jc w:val="both"/>
        <w:rPr>
          <w:rFonts w:ascii="Arial Nova" w:hAnsi="Arial Nova" w:eastAsia="Arial Nova" w:cs="Arial Nova"/>
          <w:noProof w:val="0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§ 2º – Em todas as hipóteses, o administrador deverá demonstrar, motivadamente, que foram levadas em consideração as particularidades do objeto licitado, bem como o princípio da razoabilidade e os objetivos do tratamento diferenciado dispensado às microempresas e empresas de pequeno porte previstos na Lei Complementar Federal nº 123, de 2006, e na </w:t>
      </w:r>
      <w:hyperlink r:id="R08698867e6214874">
        <w:r w:rsidRPr="08508BD4" w:rsidR="3E38C71E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pt"/>
          </w:rPr>
          <w:t>Lei nº 20.826, de 2013</w:t>
        </w:r>
      </w:hyperlink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>, para a definição de âmbito local e regional utilizada no procedimento licitatório.</w:t>
      </w:r>
    </w:p>
    <w:p xmlns:wp14="http://schemas.microsoft.com/office/word/2010/wordml" w:rsidP="08508BD4" wp14:paraId="74454074" wp14:textId="183622B7">
      <w:pPr>
        <w:spacing w:before="220" w:beforeAutospacing="off" w:after="0" w:afterAutospacing="off" w:line="257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5º – A fim de ampliar a participação das microempresas e empresas de pequeno porte nas licitações, os órgãos e entidades contratantes deverão, sempre que possível:</w:t>
      </w:r>
    </w:p>
    <w:p w:rsidR="6DB736E1" w:rsidP="08508BD4" w:rsidRDefault="6DB736E1" w14:paraId="6651A444" w14:textId="7B785B05">
      <w:pPr>
        <w:pStyle w:val="Normal"/>
        <w:spacing w:before="0" w:beforeAutospacing="off" w:after="0" w:afterAutospacing="off" w:line="271" w:lineRule="auto"/>
        <w:ind w:left="19" w:right="59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505930C8" wp14:textId="5F495CCA">
      <w:pPr>
        <w:pStyle w:val="Normal"/>
        <w:spacing w:before="0" w:beforeAutospacing="off" w:after="0" w:afterAutospacing="off" w:line="271" w:lineRule="auto"/>
        <w:ind w:left="19" w:right="59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E143E37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estabelecer e divulgar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o planejamento anual das aquisições públicas a serem realizadas, com a estimativa de quantitativo e de data das contratações;</w:t>
      </w:r>
    </w:p>
    <w:p xmlns:wp14="http://schemas.microsoft.com/office/word/2010/wordml" w:rsidP="08508BD4" wp14:paraId="5882F77E" wp14:textId="0E3B542D">
      <w:pPr>
        <w:pStyle w:val="Normal"/>
        <w:spacing w:before="0" w:beforeAutospacing="off" w:after="0" w:afterAutospacing="off" w:line="271" w:lineRule="auto"/>
        <w:ind w:left="19" w:right="65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332111B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padronizar e divulgar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as especificações dos bens e serviços contratados de modo a orientar as microempresas e empresas de pequeno porte para adequarem os seus processos produtivos.</w:t>
      </w:r>
    </w:p>
    <w:p xmlns:wp14="http://schemas.microsoft.com/office/word/2010/wordml" w:rsidP="08508BD4" wp14:paraId="188A97FF" wp14:textId="773675C2">
      <w:pPr>
        <w:spacing w:before="195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6º – A comprovação de regularidade fiscal e trabalhista das microempresas e empresas de pequeno porte somente será exigida para efeito de assinatura do contrato e não como condição para participação na licitação.</w:t>
      </w:r>
    </w:p>
    <w:p xmlns:wp14="http://schemas.microsoft.com/office/word/2010/wordml" w:rsidP="08508BD4" wp14:paraId="565B133E" wp14:textId="0DE40409">
      <w:pPr>
        <w:spacing w:before="194" w:beforeAutospacing="off" w:after="0" w:afterAutospacing="off" w:line="264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1º – Na hipótese de haver alguma restrição na comprovação da regularidade fiscal e trabalhista será assegurado o prazo de cinco dias úteis para sua regularização pelo licitante, prorrogável por igual período, a critério da administração pública.</w:t>
      </w:r>
    </w:p>
    <w:p xmlns:wp14="http://schemas.microsoft.com/office/word/2010/wordml" w:rsidP="08508BD4" wp14:paraId="7609411E" wp14:textId="48D54E57">
      <w:pPr>
        <w:spacing w:before="219" w:beforeAutospacing="off" w:after="0" w:afterAutospacing="off" w:line="257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2º – Para aplicação do disposto no § 1º, o prazo para a regularização fiscal e trabalhista será contado, observado o disposto no art. 110 da Lei Federal nº 8.666, de 21 de junho de 1993, a partir:</w:t>
      </w:r>
    </w:p>
    <w:p w:rsidR="6DB736E1" w:rsidP="08508BD4" w:rsidRDefault="6DB736E1" w14:paraId="5D51F37F" w14:textId="6E7023F4">
      <w:pPr>
        <w:pStyle w:val="Normal"/>
        <w:spacing w:before="0" w:beforeAutospacing="off" w:after="0" w:afterAutospacing="off" w:line="271" w:lineRule="auto"/>
        <w:ind w:left="19" w:right="198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73D9C052" wp14:textId="2629FF13">
      <w:pPr>
        <w:pStyle w:val="Normal"/>
        <w:spacing w:before="0" w:beforeAutospacing="off" w:after="0" w:afterAutospacing="off" w:line="271" w:lineRule="auto"/>
        <w:ind w:left="19" w:right="198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1E61A146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da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divulgação da análise dos documentos de habilitação do licitante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melhor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classificado, na licitação na modalidade pregão e nas regidas pelo Regime Diferenciado de Contratações Públicas sem inversão</w:t>
      </w:r>
      <w:r w:rsidRPr="08508BD4" w:rsidR="15C31DDC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de fases;</w:t>
      </w:r>
    </w:p>
    <w:p xmlns:wp14="http://schemas.microsoft.com/office/word/2010/wordml" w:rsidP="08508BD4" wp14:paraId="6C765F95" wp14:textId="79F271EE">
      <w:pPr>
        <w:pStyle w:val="Normal"/>
        <w:spacing w:before="0" w:beforeAutospacing="off" w:after="0" w:afterAutospacing="off" w:line="264" w:lineRule="auto"/>
        <w:ind w:left="19" w:right="407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50E3A9B5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da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divulgação do resultado do julgamento das propostas, nas modalidades de licitação previstas na Lei Federal nº 8.666, de 1993, e nas regidas pelo Regime Diferenciado de Contratações Públicas com a inversão de fases.</w:t>
      </w:r>
    </w:p>
    <w:p xmlns:wp14="http://schemas.microsoft.com/office/word/2010/wordml" w:rsidP="08508BD4" wp14:paraId="711974BA" wp14:textId="2AF546AD">
      <w:pPr>
        <w:spacing w:before="204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3º – A abertura da fase recursal destinada a impugnar o resultado do certame ocorrerá após o decurso do prazo de regularização fiscal e trabalhista previsto no § 1º.</w:t>
      </w:r>
    </w:p>
    <w:p xmlns:wp14="http://schemas.microsoft.com/office/word/2010/wordml" w:rsidP="08508BD4" wp14:paraId="14149B2D" wp14:textId="325E924B">
      <w:pPr>
        <w:spacing w:before="194" w:beforeAutospacing="off" w:after="0" w:afterAutospacing="off" w:line="271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4º – O prazo para regularização dos documentos de que trata o § 1º não se aplica aos documentos relativos à habilitação jurídica, à qualificação técnica e econômico-financeira e ao cumprimento do disposto no inciso XXXIII do art. 7º da Constituição Federal.</w:t>
      </w:r>
    </w:p>
    <w:p xmlns:wp14="http://schemas.microsoft.com/office/word/2010/wordml" w:rsidP="08508BD4" wp14:paraId="6D830F5D" wp14:textId="0ECF8D02">
      <w:pPr>
        <w:spacing w:before="194" w:beforeAutospacing="off" w:after="0" w:afterAutospacing="off" w:line="266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5 º – Na hipótese de o procedimento exigir declaração de que o licitante cumpre os requisitos de habilitação, as microempresas e empresas de pequeno porte deverão informar, se for o caso, eventuais restrições relativas à documentação de regularidade fiscal e trabalhista, podendo o edital prever a aplicação de penalidades pela omissão dessa informação.</w:t>
      </w:r>
    </w:p>
    <w:p xmlns:wp14="http://schemas.microsoft.com/office/word/2010/wordml" w:rsidP="08508BD4" wp14:paraId="51796BBB" wp14:textId="009F5C0E">
      <w:pPr>
        <w:spacing w:before="216" w:beforeAutospacing="off" w:after="0" w:afterAutospacing="off" w:line="264" w:lineRule="auto"/>
        <w:ind w:left="19" w:right="638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6º – Não havendo regularização da documentação fiscal e trabalhista no prazo previsto no § 1º, o licitante vencedor decairá do direito à contratação, sendo facultada à administração convocar os licitantes remanescentes, na ordem de classificação, para assinatura do contrato, ou ainda revogar a licitação.</w:t>
      </w:r>
    </w:p>
    <w:p xmlns:wp14="http://schemas.microsoft.com/office/word/2010/wordml" w:rsidP="08508BD4" wp14:paraId="481D32C5" wp14:textId="3640902F">
      <w:pPr>
        <w:spacing w:before="204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 xml:space="preserve">(Vide § 7º do art. 36 do </w:t>
      </w:r>
      <w:hyperlink r:id="Rb57b46f8e1f04619">
        <w:r w:rsidRPr="08508BD4" w:rsidR="3E38C71E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pt"/>
          </w:rPr>
          <w:t>Decreto nº 48.723, de 24/11/2023</w:t>
        </w:r>
      </w:hyperlink>
      <w:r w:rsidRPr="08508BD4" w:rsidR="3E38C71E">
        <w:rPr>
          <w:rFonts w:ascii="Arial Nova" w:hAnsi="Arial Nova" w:eastAsia="Arial Nova" w:cs="Arial Nova"/>
          <w:noProof w:val="0"/>
          <w:sz w:val="24"/>
          <w:szCs w:val="24"/>
          <w:lang w:val="pt"/>
        </w:rPr>
        <w:t>.)</w:t>
      </w:r>
    </w:p>
    <w:p xmlns:wp14="http://schemas.microsoft.com/office/word/2010/wordml" w:rsidP="08508BD4" wp14:paraId="7D252979" wp14:textId="3539CBBF">
      <w:pPr>
        <w:spacing w:before="248" w:beforeAutospacing="off" w:after="0" w:afterAutospacing="off" w:line="264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7º – Nas licitações que adotarem os tipos ou critérios de julgamento menor preço, maior desconto ou técnica e preço, será assegurado às microempresas e empresas de pequeno porte preferência de contratação, como critério de desempate.</w:t>
      </w:r>
    </w:p>
    <w:p xmlns:wp14="http://schemas.microsoft.com/office/word/2010/wordml" w:rsidP="08508BD4" wp14:paraId="0EEE4FC0" wp14:textId="121E5A42">
      <w:pPr>
        <w:spacing w:before="219" w:beforeAutospacing="off" w:after="0" w:afterAutospacing="off" w:line="264" w:lineRule="auto"/>
        <w:ind w:left="19" w:right="56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§ 1º – Na hipótese de licitação do tipo, ou critério de julgamento, menor preço ou maior desconto, entende-se por empate aquelas situações em que as propostas apresentadas pelas microempresas e empresas de pequeno porte sejam iguais ou até dez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por cento superiores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à proposta mais bem classificada.</w:t>
      </w:r>
    </w:p>
    <w:p xmlns:wp14="http://schemas.microsoft.com/office/word/2010/wordml" w:rsidP="08508BD4" wp14:paraId="134209BA" wp14:textId="55DCAD0B">
      <w:pPr>
        <w:spacing w:before="204" w:beforeAutospacing="off" w:after="0" w:afterAutospacing="off" w:line="266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§ 2º – Para o caso de a licitação adotar o tipo ou critério de julgamento técnica e preço, o empate será aferido levando em consideração o resultado da ponderação entre a técnica e o preço na proposta apresentada pelos licitantes, sendo facultada à microempresa ou empresa de pequeno porte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melhor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classificada a possibilidade de apresentar proposta de preço inferior.</w:t>
      </w:r>
    </w:p>
    <w:p xmlns:wp14="http://schemas.microsoft.com/office/word/2010/wordml" w:rsidP="08508BD4" wp14:paraId="548FF649" wp14:textId="666E75C5">
      <w:pPr>
        <w:spacing w:before="216" w:beforeAutospacing="off" w:after="0" w:afterAutospacing="off" w:line="257" w:lineRule="auto"/>
        <w:ind w:left="19" w:right="516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3º – Na modalidade pregão o intervalo percentual estabelecido no § 1º será de até cinco por cento superior ao melhor preço.</w:t>
      </w:r>
    </w:p>
    <w:p xmlns:wp14="http://schemas.microsoft.com/office/word/2010/wordml" w:rsidP="08508BD4" wp14:paraId="738199D7" wp14:textId="77F9B9D2">
      <w:pPr>
        <w:spacing w:before="228" w:beforeAutospacing="off" w:after="0" w:afterAutospacing="off" w:line="257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4º – O disposto neste artigo somente se aplicará quando a melhor oferta inicial não tiver sido apresentada por microempresa ou empresa de pequeno porte.</w:t>
      </w:r>
    </w:p>
    <w:p xmlns:wp14="http://schemas.microsoft.com/office/word/2010/wordml" w:rsidP="08508BD4" wp14:paraId="7B26A8D5" wp14:textId="13BBEB5C">
      <w:pPr>
        <w:spacing w:before="227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5º – A preferência de que trata 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será concedida da seguinte forma:</w:t>
      </w:r>
    </w:p>
    <w:p xmlns:wp14="http://schemas.microsoft.com/office/word/2010/wordml" w:rsidP="08508BD4" wp14:paraId="62324570" wp14:textId="5BEF42AF">
      <w:pPr>
        <w:pStyle w:val="Normal"/>
        <w:spacing w:before="227" w:beforeAutospacing="off" w:after="0" w:afterAutospacing="off" w:line="264" w:lineRule="auto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67BC892A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–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ocorrend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o empate, a microempresa ou empresa de pequeno porte melhor classificada poderá apresentar proposta de preço inferior àquela considerada vencedora do certame, situação em que será adjudicado o objeto em seu favor;</w:t>
      </w:r>
    </w:p>
    <w:p xmlns:wp14="http://schemas.microsoft.com/office/word/2010/wordml" w:rsidP="08508BD4" wp14:paraId="5633D2FB" wp14:textId="279B4265">
      <w:pPr>
        <w:pStyle w:val="Normal"/>
        <w:spacing w:before="0" w:beforeAutospacing="off" w:after="0" w:afterAutospacing="off" w:line="264" w:lineRule="auto"/>
        <w:ind w:left="19" w:right="23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50377AA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–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nã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ocorrendo a contratação da microempresa ou empresa de pequeno porte na forma do inciso I, serão convocadas as remanescentes que porventura se enquadrem na situação de empate, na ordem classificatória, para o exercício do mesmo direito;</w:t>
      </w:r>
    </w:p>
    <w:p xmlns:wp14="http://schemas.microsoft.com/office/word/2010/wordml" w:rsidP="08508BD4" wp14:paraId="2E0AAF87" wp14:textId="1C25E968">
      <w:pPr>
        <w:pStyle w:val="Normal"/>
        <w:spacing w:before="0" w:beforeAutospacing="off" w:after="0" w:afterAutospacing="off" w:line="271" w:lineRule="auto"/>
        <w:ind w:left="19" w:right="217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7829D82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no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caso de equivalência dos valores apresentados pelas microempresas ou empresas de pequeno porte que se encontrem em situação de empate, será realizado sorteio entre elas para que se identifique aquela</w:t>
      </w:r>
      <w:r w:rsidRPr="08508BD4" w:rsidR="767A7AAD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que primeiro poderá apresentar a melhor oferta.</w:t>
      </w:r>
    </w:p>
    <w:p xmlns:wp14="http://schemas.microsoft.com/office/word/2010/wordml" w:rsidP="08508BD4" wp14:paraId="6DEE267E" wp14:textId="6D78CEEE">
      <w:pPr>
        <w:spacing w:before="249" w:beforeAutospacing="off" w:after="0" w:afterAutospacing="off" w:line="264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6º – Não se aplica o sorteio disposto no inciso III do § 5º quando o procedimento, por sua natureza, não admitir o empate real, como acontece na fase de lances do pregão, em que os lances equivalentes são classificados conforme a ordem de apresentação pelos licitantes.</w:t>
      </w:r>
    </w:p>
    <w:p xmlns:wp14="http://schemas.microsoft.com/office/word/2010/wordml" w:rsidP="08508BD4" wp14:paraId="22B58663" wp14:textId="39EA27ED">
      <w:pPr>
        <w:spacing w:before="204" w:beforeAutospacing="off" w:after="0" w:afterAutospacing="off" w:line="264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7º – No caso de pregão, a microempresa ou empresa de pequeno porte melhor classificada será convocada para apresentar nova proposta no prazo máximo de cinco minutos após o encerramento dos lances, sob pena de preclusão, observado o disposto no inciso II do § 5º.</w:t>
      </w:r>
    </w:p>
    <w:p xmlns:wp14="http://schemas.microsoft.com/office/word/2010/wordml" w:rsidP="08508BD4" wp14:paraId="72DE638C" wp14:textId="1DE6E31B">
      <w:pPr>
        <w:spacing w:before="219" w:beforeAutospacing="off" w:after="0" w:afterAutospacing="off" w:line="264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8º – Nas demais modalidades de licitação, o prazo para os licitantes apresentarem nova proposta será de no mínimo vinte e quatro horas, contado a partir da data de recebimento da notificação efetuada pela Comissão de Licitação, podendo ser estipulado outro prazo no instrumento convocatório.</w:t>
      </w:r>
    </w:p>
    <w:p xmlns:wp14="http://schemas.microsoft.com/office/word/2010/wordml" w:rsidP="08508BD4" wp14:paraId="3D20D887" wp14:textId="78B26511">
      <w:pPr>
        <w:spacing w:before="218" w:beforeAutospacing="off" w:after="0" w:afterAutospacing="off" w:line="257" w:lineRule="auto"/>
        <w:ind w:left="19" w:right="15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9º – Na hipótese de não contratação nos termos previstos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, o objeto licitado será adjudicado em favor da proposta originalmente vencedora do certame.</w:t>
      </w:r>
    </w:p>
    <w:p xmlns:wp14="http://schemas.microsoft.com/office/word/2010/wordml" w:rsidP="08508BD4" wp14:paraId="2EDF4D5B" wp14:textId="456FEA5E">
      <w:pPr>
        <w:spacing w:before="228" w:beforeAutospacing="off" w:after="0" w:afterAutospacing="off" w:line="266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8º – Os órgãos e entidades deverão realizar processo licitatório para aquisição de bens e contratação de serviços e obras destinado exclusivamente à participação das microempresas e empresas de pequeno porte quando o valor estimado para o item de contratação não ultrapassar R$ 80.000,00 (oitenta mil reais).</w:t>
      </w:r>
    </w:p>
    <w:p xmlns:wp14="http://schemas.microsoft.com/office/word/2010/wordml" w:rsidP="08508BD4" wp14:paraId="2EB48923" wp14:textId="0F2F59C5">
      <w:pPr>
        <w:spacing w:before="201" w:beforeAutospacing="off" w:after="0" w:afterAutospacing="off" w:line="264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1º – Considera-se item de contratação, para efeitos deste decreto, o lote composto por um item ou por um conjunto de itens que habitualmente são fornecidos por empresas do mesmo ramo de atividade, visando tornar economicamente viável a competição.</w:t>
      </w:r>
    </w:p>
    <w:p xmlns:wp14="http://schemas.microsoft.com/office/word/2010/wordml" w:rsidP="08508BD4" wp14:paraId="3360022C" wp14:textId="2C6F29EA">
      <w:pPr>
        <w:spacing w:before="219" w:beforeAutospacing="off" w:after="0" w:afterAutospacing="off" w:line="264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2º – No caso de contratações de natureza continuada, o valor estimado para o processo licitatório mencionado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se refere ao período de vigência contratual, não sendo computados os valores relativos a eventuais prorrogações contratuais.</w:t>
      </w:r>
    </w:p>
    <w:p xmlns:wp14="http://schemas.microsoft.com/office/word/2010/wordml" w:rsidP="08508BD4" wp14:paraId="106CDB3E" wp14:textId="149426A5">
      <w:pPr>
        <w:spacing w:before="219" w:beforeAutospacing="off" w:after="0" w:afterAutospacing="off" w:line="264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9º – Os órgãos e entidades contratantes poderão estabelecer, nos instrumentos convocatórios destinados à contratação de obras e serviços, a exigência de subcontratação de microempresas e empresas de pequeno porte.</w:t>
      </w:r>
    </w:p>
    <w:p xmlns:wp14="http://schemas.microsoft.com/office/word/2010/wordml" w:rsidP="08508BD4" wp14:paraId="30712356" wp14:textId="6620CE6E">
      <w:pPr>
        <w:spacing w:before="204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10 – A exigência de subcontratação prevista no art. 9º não será aplicável quando o licitante for:</w:t>
      </w:r>
    </w:p>
    <w:p w:rsidR="6DB736E1" w:rsidP="08508BD4" w:rsidRDefault="6DB736E1" w14:paraId="7BB2D2D6" w14:textId="1A190F36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33F5D1FB" wp14:textId="5381DCDE">
      <w:pPr>
        <w:pStyle w:val="Normal"/>
        <w:spacing w:before="0" w:beforeAutospacing="off" w:after="0" w:afterAutospacing="off"/>
        <w:ind w:left="19" w:right="0" w:hanging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A9AC810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–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microempresa ou empres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de pequeno porte;</w:t>
      </w:r>
    </w:p>
    <w:p xmlns:wp14="http://schemas.microsoft.com/office/word/2010/wordml" w:rsidP="08508BD4" wp14:paraId="27FE0AD9" wp14:textId="2A68FB6E">
      <w:pPr>
        <w:pStyle w:val="Normal"/>
        <w:spacing w:before="0" w:beforeAutospacing="off" w:after="0" w:afterAutospacing="off" w:line="257" w:lineRule="auto"/>
        <w:ind w:left="19" w:right="107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5B0B6EEF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consórcio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composto em sua totalidade por microempresas e empresas de pequeno porte, respeitado o disposto no art. 33 da Lei Federal nº 8.666, de1993;</w:t>
      </w:r>
    </w:p>
    <w:p xmlns:wp14="http://schemas.microsoft.com/office/word/2010/wordml" w:rsidP="08508BD4" wp14:paraId="504A6338" wp14:textId="3E1562F3">
      <w:pPr>
        <w:pStyle w:val="Normal"/>
        <w:spacing w:before="0" w:beforeAutospacing="off" w:after="0" w:afterAutospacing="off" w:line="257" w:lineRule="auto"/>
        <w:ind w:left="19" w:right="883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2857DB93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consórcio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composto parcialmente por microempresas ou empresas de pequeno porte, com participação igual ou superior ao percentual exigido de subcontratação.</w:t>
      </w:r>
    </w:p>
    <w:p xmlns:wp14="http://schemas.microsoft.com/office/word/2010/wordml" w:rsidP="08508BD4" wp14:paraId="5FD3042F" wp14:textId="3B8AF391">
      <w:pPr>
        <w:spacing w:before="228" w:beforeAutospacing="off" w:after="0" w:afterAutospacing="off" w:line="264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11 – Nos certames para a aquisição de bens de natureza divisível, os órgãos e entidades contratantes deverão reservar percentual de até vinte e cinco por cento do objeto para a contratação de microempresas e empresas de pequeno porte.</w:t>
      </w:r>
    </w:p>
    <w:p xmlns:wp14="http://schemas.microsoft.com/office/word/2010/wordml" w:rsidP="08508BD4" wp14:paraId="746068A5" wp14:textId="436AADFB">
      <w:pPr>
        <w:spacing w:before="219" w:beforeAutospacing="off" w:after="0" w:afterAutospacing="off" w:line="257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1º – O percentual máximo de vinte e cinco por cento previsto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deverá ser calculado sobre o valor total estimado para o certame.</w:t>
      </w:r>
    </w:p>
    <w:p xmlns:wp14="http://schemas.microsoft.com/office/word/2010/wordml" w:rsidP="08508BD4" wp14:paraId="47E80889" wp14:textId="3EA9E95D">
      <w:pPr>
        <w:spacing w:before="227" w:beforeAutospacing="off" w:after="0" w:afterAutospacing="off" w:line="264" w:lineRule="auto"/>
        <w:ind w:left="19" w:right="47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2º – A reserva de cota do objeto definida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será realizada por meio de identificação de lote para a participação exclusiva de microempresas e empresas de pequeno porte, com observância a uma das seguintes regras:</w:t>
      </w:r>
    </w:p>
    <w:p w:rsidR="6DB736E1" w:rsidP="08508BD4" w:rsidRDefault="6DB736E1" w14:paraId="34D3BC9A" w14:textId="74AFCD99">
      <w:pPr>
        <w:pStyle w:val="Normal"/>
        <w:spacing w:line="264" w:lineRule="auto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7E4BDCF8" wp14:textId="1F840CEB">
      <w:pPr>
        <w:pStyle w:val="Normal"/>
        <w:spacing w:before="0" w:beforeAutospacing="off" w:after="0" w:afterAutospacing="off" w:line="264" w:lineRule="auto"/>
        <w:ind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CCB8FED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lote para participação exclusiva poderá ser composto pelos mesmos itens que compõem os lotes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cuja participação é aberta a qualquer licitante;</w:t>
      </w:r>
    </w:p>
    <w:p xmlns:wp14="http://schemas.microsoft.com/office/word/2010/wordml" w:rsidP="08508BD4" wp14:paraId="3D856795" wp14:textId="06CB52B2">
      <w:pPr>
        <w:pStyle w:val="Normal"/>
        <w:spacing w:before="0" w:beforeAutospacing="off" w:after="0" w:afterAutospacing="off" w:line="271" w:lineRule="auto"/>
        <w:ind w:left="19" w:right="444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6DF98505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lote para participação exclusiva poderá ser composto por item ou itens que representem a sua quantidade total licitada, podendo este item ou itens serem diferentes dos itens dos demais lotes da licitação.</w:t>
      </w:r>
    </w:p>
    <w:p xmlns:wp14="http://schemas.microsoft.com/office/word/2010/wordml" w:rsidP="08508BD4" wp14:paraId="42C93226" wp14:textId="421B4600">
      <w:pPr>
        <w:spacing w:before="194" w:beforeAutospacing="off" w:after="0" w:afterAutospacing="off" w:line="264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3º – Na hipótese em que o valor de um dos lotes do certame, nos termos do § 1º do art. 8º, seja inferior ou igual a R$ 80.000,00 (oitenta mil reais), sendo aplicada a regra definida no art. 8º, considera-se satisfeita a exigência da reserva de percentual disposta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.</w:t>
      </w:r>
    </w:p>
    <w:p xmlns:wp14="http://schemas.microsoft.com/office/word/2010/wordml" w:rsidP="08508BD4" wp14:paraId="5638B690" wp14:textId="518E85B3">
      <w:pPr>
        <w:spacing w:before="219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4º – O disposto neste artigo não impede a contratação de microempresas e empresas de pequeno porte na totalidade do objeto.</w:t>
      </w:r>
    </w:p>
    <w:p xmlns:wp14="http://schemas.microsoft.com/office/word/2010/wordml" w:rsidP="08508BD4" wp14:paraId="2465BE95" wp14:textId="21B6BF99">
      <w:pPr>
        <w:spacing w:before="194" w:beforeAutospacing="off" w:after="0" w:afterAutospacing="off" w:line="271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5º – Na hipótese de a mesma licitante vencer a cota reservada e a cota principal, quando os lotes forem compostos nos termos do inciso I do § 2º, a contratação do item deverá ocorrer pelo menor preço obtido.</w:t>
      </w:r>
    </w:p>
    <w:p xmlns:wp14="http://schemas.microsoft.com/office/word/2010/wordml" w:rsidP="08508BD4" wp14:paraId="628E05DB" wp14:textId="3EEC94E3">
      <w:pPr>
        <w:spacing w:before="195" w:beforeAutospacing="off" w:after="0" w:afterAutospacing="off" w:line="266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§ 6º – O instrumento convocatório deverá prever que, na hipótese de não haver vencedor para a cota reservada definida nos termos do inciso I do § 2º, esta poderá ser adjudicada ao vencedor da cota principal ou, diante de sua recusa, aos licitantes remanescentes, desde que pratiquem o preço do primeiro colocado da cota principal.</w:t>
      </w:r>
    </w:p>
    <w:p xmlns:wp14="http://schemas.microsoft.com/office/word/2010/wordml" w:rsidP="08508BD4" wp14:paraId="369DEDD0" wp14:textId="34CFA103">
      <w:pPr>
        <w:spacing w:before="216" w:beforeAutospacing="off" w:after="0" w:afterAutospacing="off" w:line="264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Art. 12 – Na hipótese de aplicação dos benefícios previstos nos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. 8º a 11, poderá ser concedida, justificadamente, prioridade de contratação para as microempresas e empresas de pequeno porte sediadas local ou regionalmente, até o limite de dez por cento do melhor preço válido.</w:t>
      </w:r>
    </w:p>
    <w:p xmlns:wp14="http://schemas.microsoft.com/office/word/2010/wordml" w:rsidP="08508BD4" wp14:paraId="091D5C58" wp14:textId="4FDDBC4E">
      <w:pPr>
        <w:spacing w:before="203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13 – Os critérios de tratamento diferenciado, simplificado e favorecido para as microempresas e empresas de pequeno porte deverão estar expressamente previstos no instrumento convocatório.</w:t>
      </w:r>
    </w:p>
    <w:p xmlns:wp14="http://schemas.microsoft.com/office/word/2010/wordml" w:rsidP="08508BD4" wp14:paraId="05A19091" wp14:textId="493DD98B">
      <w:pPr>
        <w:spacing w:before="210" w:beforeAutospacing="off" w:after="0" w:afterAutospacing="off" w:line="264" w:lineRule="auto"/>
        <w:ind w:left="19" w:right="188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Parágrafo único – Deverá ser exigida do licitante a ser beneficiado a declaração, sob as penas da lei, de que cumpre os requisitos legais para a qualificação como microempresa ou empresa de pequeno porte, microempreendedor individual, produtor rural pessoa física, agricultor familiar ou sociedade cooperativa, estando apto a usufruir do tratamento favorecido estabelecido nos art. 42 ao art. 49 da Lei Complementar Federal nº 123, de 2006.</w:t>
      </w:r>
    </w:p>
    <w:p xmlns:wp14="http://schemas.microsoft.com/office/word/2010/wordml" w:rsidP="08508BD4" wp14:paraId="43719653" wp14:textId="3D474D96">
      <w:pPr>
        <w:spacing w:before="205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Art. 14 – Não se aplica o disposto nos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. 8º a 11 às seguintes hipóteses:</w:t>
      </w:r>
    </w:p>
    <w:p xmlns:wp14="http://schemas.microsoft.com/office/word/2010/wordml" w:rsidP="08508BD4" wp14:paraId="29A2825B" wp14:textId="3F596D13">
      <w:pPr>
        <w:pStyle w:val="Normal"/>
        <w:spacing w:before="205" w:beforeAutospacing="off" w:after="0" w:afterAutospacing="off" w:line="264" w:lineRule="auto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5D560919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não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houver um mínimo de três fornecedores competitivos enquadrados como microempresas e empresas de pequeno porte sediados local ou regionalmente e capazes de cumprir as exigências estabelecidas no instrumento convocatório;</w:t>
      </w:r>
    </w:p>
    <w:p xmlns:wp14="http://schemas.microsoft.com/office/word/2010/wordml" w:rsidP="08508BD4" wp14:paraId="157A2322" wp14:textId="2BE611E1">
      <w:pPr>
        <w:pStyle w:val="Normal"/>
        <w:spacing w:before="0" w:beforeAutospacing="off" w:after="0" w:afterAutospacing="off" w:line="264" w:lineRule="auto"/>
        <w:ind w:left="19" w:right="157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53F99F1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tratamento diferenciado e simplificado para as microempresas e empresas de pequeno porte que não for vantajoso para a administração ou representar prejuízo ao conjunto ou complexo do objeto a ser contratado, justificadamente;</w:t>
      </w:r>
    </w:p>
    <w:p xmlns:wp14="http://schemas.microsoft.com/office/word/2010/wordml" w:rsidP="08508BD4" wp14:paraId="00FEF382" wp14:textId="3284BA8C">
      <w:pPr>
        <w:pStyle w:val="Normal"/>
        <w:spacing w:before="0" w:beforeAutospacing="off" w:after="0" w:afterAutospacing="off" w:line="264" w:lineRule="auto"/>
        <w:ind w:left="19" w:right="241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2096BC85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licitação for dispensável ou inexigível, nos termos dos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. 24 e 25 da Lei Federal nº 8.666, de 1993, excetuadas as dispensas tratadas pelos incisos I e II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-BR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do art. 24, nas quais a compra deverá ser feita preferencialmente de microempresas e empresas de pequeno porte, observados, no que couber, os incisos I, II e IV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-BR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:</w:t>
      </w:r>
    </w:p>
    <w:p xmlns:wp14="http://schemas.microsoft.com/office/word/2010/wordml" w:rsidP="08508BD4" wp14:paraId="51E2568C" wp14:textId="3A029374">
      <w:pPr>
        <w:pStyle w:val="Normal"/>
        <w:spacing w:before="0" w:beforeAutospacing="off" w:after="0" w:afterAutospacing="off" w:line="257" w:lineRule="auto"/>
        <w:ind w:left="19" w:right="291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213A041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IV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tratamento diferenciado e simplificado não for capaz de alcançar, justificadamente, pelo menos um dos objetivos previstos no art. 1º.</w:t>
      </w:r>
    </w:p>
    <w:p xmlns:wp14="http://schemas.microsoft.com/office/word/2010/wordml" w:rsidP="08508BD4" wp14:paraId="5C108E4A" wp14:textId="18F4BFC0">
      <w:pPr>
        <w:spacing w:before="228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1º – Para efeito do disposto no inciso II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, considera-se não vantajoso para a administração, entre outros casos:</w:t>
      </w:r>
    </w:p>
    <w:p w:rsidR="6DB736E1" w:rsidP="08508BD4" w:rsidRDefault="6DB736E1" w14:paraId="042E0BB4" w14:textId="7F9AF50D">
      <w:pPr>
        <w:pStyle w:val="Normal"/>
        <w:spacing w:line="271" w:lineRule="auto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5FCEB1B7" wp14:textId="2C55BF9F">
      <w:pPr>
        <w:pStyle w:val="Normal"/>
        <w:spacing w:before="0" w:beforeAutospacing="off" w:after="0" w:afterAutospacing="off" w:line="271" w:lineRule="auto"/>
        <w:ind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02413CD4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quando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a natureza do bem, serviço ou obra for incompatível com a aplicação dos benefícios;</w:t>
      </w:r>
    </w:p>
    <w:p xmlns:wp14="http://schemas.microsoft.com/office/word/2010/wordml" w:rsidP="08508BD4" wp14:paraId="34E8C35A" wp14:textId="65A507C4">
      <w:pPr>
        <w:pStyle w:val="Normal"/>
        <w:spacing w:before="0" w:beforeAutospacing="off" w:after="0" w:afterAutospacing="off" w:line="257" w:lineRule="auto"/>
        <w:ind w:left="0" w:right="77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61BB9F35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II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–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quando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a realização de procedimento licitatório anterior, com a previsão da aplicação destes benefícios:</w:t>
      </w:r>
    </w:p>
    <w:p w:rsidR="6DB736E1" w:rsidP="08508BD4" w:rsidRDefault="6DB736E1" w14:paraId="32C4AC18" w14:textId="14581556">
      <w:pPr>
        <w:pStyle w:val="Normal"/>
        <w:spacing w:before="0" w:beforeAutospacing="off" w:after="0" w:afterAutospacing="off" w:line="257" w:lineRule="auto"/>
        <w:ind w:left="0" w:right="77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</w:p>
    <w:p xmlns:wp14="http://schemas.microsoft.com/office/word/2010/wordml" w:rsidP="08508BD4" wp14:paraId="0BC3856D" wp14:textId="26F9F78D">
      <w:pPr>
        <w:pStyle w:val="Normal"/>
        <w:spacing w:before="0" w:beforeAutospacing="off" w:after="0" w:afterAutospacing="off"/>
        <w:ind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6DB736E1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a)</w:t>
      </w:r>
      <w:r w:rsidRPr="08508BD4" w:rsidR="00D8F460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resultou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em preço superior ao valor estabelecido como referência;</w:t>
      </w:r>
    </w:p>
    <w:p xmlns:wp14="http://schemas.microsoft.com/office/word/2010/wordml" w:rsidP="08508BD4" wp14:paraId="012F1FF0" wp14:textId="3F48E9C0">
      <w:pPr>
        <w:pStyle w:val="Normal"/>
        <w:spacing w:before="0" w:beforeAutospacing="off" w:after="0" w:afterAutospacing="off"/>
        <w:ind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568FD14B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b) r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esultou em licitação deserta ou sem licitante vencedor.</w:t>
      </w:r>
    </w:p>
    <w:p xmlns:wp14="http://schemas.microsoft.com/office/word/2010/wordml" w:rsidP="08508BD4" wp14:paraId="37DDE6BD" wp14:textId="7F336BA8">
      <w:pPr>
        <w:spacing w:before="248" w:beforeAutospacing="off" w:after="0" w:afterAutospacing="off" w:line="257" w:lineRule="auto"/>
        <w:ind w:left="19" w:right="0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§ 2º – A autoridade competente deverá motivar, nos autos do processo, a não aplicação dos benefícios dispostos nos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. 8º e 11.</w:t>
      </w:r>
    </w:p>
    <w:p xmlns:wp14="http://schemas.microsoft.com/office/word/2010/wordml" w:rsidP="08508BD4" wp14:paraId="770E2733" wp14:textId="01EA88DE">
      <w:pPr>
        <w:spacing w:before="228" w:beforeAutospacing="off" w:after="0" w:afterAutospacing="off" w:line="257" w:lineRule="auto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15 – O instrumento convocatório poderá prever que, ocorrendo alguma das hipóteses do inciso II do</w:t>
      </w:r>
      <w:r w:rsidRPr="08508BD4" w:rsidR="05182894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§1º do art. 14, em procedimento licitatório realizado nos termos dos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arts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. 8º e 11, será designada nova data para a realização da sessão com a previsão de que a licitação será aberta a todos os interessados.</w:t>
      </w:r>
    </w:p>
    <w:p xmlns:wp14="http://schemas.microsoft.com/office/word/2010/wordml" w:rsidP="08508BD4" wp14:paraId="28488AC8" wp14:textId="014ABCBE">
      <w:pPr>
        <w:spacing w:before="228" w:beforeAutospacing="off" w:after="0" w:afterAutospacing="off" w:line="257" w:lineRule="auto"/>
        <w:ind w:left="19" w:right="24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1º – A designação de nova data nos termos do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exige divulgação pelo mesmo instrumento em que se deu a publicação do texto original, bem como a fixação do mesmo prazo de publicidade.</w:t>
      </w:r>
    </w:p>
    <w:p xmlns:wp14="http://schemas.microsoft.com/office/word/2010/wordml" w:rsidP="08508BD4" wp14:paraId="187F78B5" wp14:textId="2899FBB1">
      <w:pPr>
        <w:spacing w:before="227" w:beforeAutospacing="off" w:after="0" w:afterAutospacing="off" w:line="271" w:lineRule="auto"/>
        <w:ind w:left="19" w:right="155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2º – Será dispensada nova instrução de processo de compra e nova análise jurídica quando adotada a regra prevista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>caput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.</w:t>
      </w:r>
    </w:p>
    <w:p xmlns:wp14="http://schemas.microsoft.com/office/word/2010/wordml" w:rsidP="08508BD4" wp14:paraId="79274111" wp14:textId="1930A76F">
      <w:pPr>
        <w:spacing w:before="194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§ 3º – Para a aplicação do disposto no </w:t>
      </w:r>
      <w:r w:rsidRPr="08508BD4" w:rsidR="3E38C71E">
        <w:rPr>
          <w:rFonts w:ascii="Arial Nova" w:hAnsi="Arial Nova" w:eastAsia="Arial Nova" w:cs="Arial Nova"/>
          <w:i w:val="1"/>
          <w:iCs w:val="1"/>
          <w:noProof w:val="0"/>
          <w:color w:val="181C26"/>
          <w:sz w:val="24"/>
          <w:szCs w:val="24"/>
          <w:lang w:val="pt"/>
        </w:rPr>
        <w:t xml:space="preserve">caput 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deverão ser mantidas todas as demais condições preestabelecidas no edital de licitação.</w:t>
      </w:r>
    </w:p>
    <w:p xmlns:wp14="http://schemas.microsoft.com/office/word/2010/wordml" w:rsidP="08508BD4" wp14:paraId="4509704E" wp14:textId="6EBAA31F">
      <w:pPr>
        <w:spacing w:before="195" w:beforeAutospacing="off" w:after="0" w:afterAutospacing="off" w:line="456" w:lineRule="auto"/>
        <w:ind w:left="19" w:right="757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>Art. 16 – A Se</w:t>
      </w:r>
      <w:r w:rsidRPr="08508BD4" w:rsidR="18DF131D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cretaria </w:t>
      </w:r>
      <w:r w:rsidRPr="08508BD4" w:rsidR="18DF131D">
        <w:rPr>
          <w:rFonts w:ascii="Arial Nova" w:hAnsi="Arial Nova" w:eastAsia="Arial Nova" w:cs="Arial Nova"/>
          <w:noProof w:val="0"/>
          <w:color w:val="181C26"/>
          <w:sz w:val="24"/>
          <w:szCs w:val="24"/>
          <w:highlight w:val="yellow"/>
          <w:lang w:val="pt-BR"/>
        </w:rPr>
        <w:t>[ ]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poderá expedir normas complementares para o cumprimento deste decreto.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-BR"/>
        </w:rPr>
        <w:t xml:space="preserve"> </w:t>
      </w:r>
    </w:p>
    <w:p xmlns:wp14="http://schemas.microsoft.com/office/word/2010/wordml" w:rsidP="08508BD4" wp14:paraId="409CEC32" wp14:textId="1185883B">
      <w:pPr>
        <w:spacing w:before="0" w:beforeAutospacing="off" w:after="0" w:afterAutospacing="off"/>
        <w:ind w:left="19" w:right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Art. 1</w:t>
      </w:r>
      <w:r w:rsidRPr="08508BD4" w:rsidR="5C70AF57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7</w:t>
      </w: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 xml:space="preserve"> – Este decreto entra em vigor trinta dias após a data de sua publicação.</w:t>
      </w:r>
    </w:p>
    <w:p xmlns:wp14="http://schemas.microsoft.com/office/word/2010/wordml" w:rsidP="08508BD4" wp14:paraId="524CDD87" wp14:textId="13DE72FE">
      <w:pPr>
        <w:spacing w:before="248" w:beforeAutospacing="off" w:after="0" w:afterAutospacing="off" w:line="271" w:lineRule="auto"/>
        <w:ind w:left="19" w:right="379" w:firstLine="0"/>
        <w:jc w:val="both"/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</w:pPr>
      <w:r w:rsidRPr="08508BD4" w:rsidR="3E38C71E">
        <w:rPr>
          <w:rFonts w:ascii="Arial Nova" w:hAnsi="Arial Nova" w:eastAsia="Arial Nova" w:cs="Arial Nova"/>
          <w:noProof w:val="0"/>
          <w:color w:val="181C26"/>
          <w:sz w:val="24"/>
          <w:szCs w:val="24"/>
          <w:lang w:val="pt"/>
        </w:rPr>
        <w:t>Parágrafo único – Não se aplica o disposto neste decreto aos processos com instrumentos convocatórios publicados antes da data de sua entrada em vigor.</w:t>
      </w:r>
    </w:p>
    <w:p xmlns:wp14="http://schemas.microsoft.com/office/word/2010/wordml" w:rsidP="08508BD4" wp14:paraId="1E207724" wp14:textId="54691D1D">
      <w:pPr>
        <w:rPr>
          <w:rFonts w:ascii="Arial Nova" w:hAnsi="Arial Nova" w:eastAsia="Arial Nova" w:cs="Arial Nova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3ea4f55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b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8f1ab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0e866c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fae862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74e10c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5f9ed3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57f66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c8d2c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6c86b4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aec61a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a2f7cb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b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d962c6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008c76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c34e84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d70213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d81de1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bec2bf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c40c2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438c93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V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d085b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III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2B4B1"/>
    <w:rsid w:val="0065E69A"/>
    <w:rsid w:val="00D8F460"/>
    <w:rsid w:val="0214B000"/>
    <w:rsid w:val="02413CD4"/>
    <w:rsid w:val="0332111B"/>
    <w:rsid w:val="03F3B945"/>
    <w:rsid w:val="0459EAA8"/>
    <w:rsid w:val="05182894"/>
    <w:rsid w:val="08508BD4"/>
    <w:rsid w:val="092B6EAE"/>
    <w:rsid w:val="0ACF97AE"/>
    <w:rsid w:val="0CCB8FED"/>
    <w:rsid w:val="0D0F632C"/>
    <w:rsid w:val="0E143E37"/>
    <w:rsid w:val="104B082A"/>
    <w:rsid w:val="10AA8114"/>
    <w:rsid w:val="11376ABD"/>
    <w:rsid w:val="11C41B0E"/>
    <w:rsid w:val="1315ACA6"/>
    <w:rsid w:val="15C31DDC"/>
    <w:rsid w:val="15E9CA18"/>
    <w:rsid w:val="16E2B4B1"/>
    <w:rsid w:val="18DF131D"/>
    <w:rsid w:val="1E5C9504"/>
    <w:rsid w:val="1E61A146"/>
    <w:rsid w:val="2096BC85"/>
    <w:rsid w:val="2241D013"/>
    <w:rsid w:val="227BE9AE"/>
    <w:rsid w:val="26A786F3"/>
    <w:rsid w:val="27D11121"/>
    <w:rsid w:val="27E829CF"/>
    <w:rsid w:val="2857DB93"/>
    <w:rsid w:val="2A181935"/>
    <w:rsid w:val="2AC712F0"/>
    <w:rsid w:val="2B3ABE91"/>
    <w:rsid w:val="2BDFAD64"/>
    <w:rsid w:val="2CDE8AE7"/>
    <w:rsid w:val="31AB782C"/>
    <w:rsid w:val="3213A041"/>
    <w:rsid w:val="3481B6D6"/>
    <w:rsid w:val="350377AA"/>
    <w:rsid w:val="353F99F1"/>
    <w:rsid w:val="35F6B9EB"/>
    <w:rsid w:val="37829D82"/>
    <w:rsid w:val="3A9AC810"/>
    <w:rsid w:val="3E38C71E"/>
    <w:rsid w:val="46175C9F"/>
    <w:rsid w:val="46EAC3FF"/>
    <w:rsid w:val="4CFFEAF7"/>
    <w:rsid w:val="50E3A9B5"/>
    <w:rsid w:val="51491C81"/>
    <w:rsid w:val="52687E24"/>
    <w:rsid w:val="568FD14B"/>
    <w:rsid w:val="56DDFFA6"/>
    <w:rsid w:val="5A014CEE"/>
    <w:rsid w:val="5B0B6EEF"/>
    <w:rsid w:val="5BB316F3"/>
    <w:rsid w:val="5C70AF57"/>
    <w:rsid w:val="5D560919"/>
    <w:rsid w:val="61BB9F35"/>
    <w:rsid w:val="658033EB"/>
    <w:rsid w:val="65C1424E"/>
    <w:rsid w:val="67BC892A"/>
    <w:rsid w:val="6B1523C9"/>
    <w:rsid w:val="6B7872FD"/>
    <w:rsid w:val="6B7A71C8"/>
    <w:rsid w:val="6DB736E1"/>
    <w:rsid w:val="6DF98505"/>
    <w:rsid w:val="6FF30CEB"/>
    <w:rsid w:val="70FB8568"/>
    <w:rsid w:val="749250AF"/>
    <w:rsid w:val="767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B4B1"/>
  <w15:chartTrackingRefBased/>
  <w15:docId w15:val="{90787E50-2E29-4246-9978-C12446DFB8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B1523C9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B1523C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541883047a43dc" /><Relationship Type="http://schemas.openxmlformats.org/officeDocument/2006/relationships/hyperlink" Target="https://www.almg.gov.br/consulte/legislacao/completa/completa.html?num=20826&amp;ano=2013&amp;tipo=LEI" TargetMode="External" Id="R08698867e6214874" /><Relationship Type="http://schemas.openxmlformats.org/officeDocument/2006/relationships/hyperlink" Target="https://www.almg.gov.br/consulte/legislacao/completa/completa.html?num=48723&amp;ano=2023&amp;tipo=DEC" TargetMode="External" Id="Rb57b46f8e1f046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2025-04-24T18:02:04.3743599Z</dcterms:created>
  <dcterms:modified xsi:type="dcterms:W3CDTF">2025-06-06T14:44:17.7379976Z</dcterms:modified>
  <dc:creator>Gabriela De Assis Thiebaut</dc:creator>
  <lastModifiedBy>Hugo Guimarães de Oliveira</lastModifiedBy>
</coreProperties>
</file>